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28A6AA81" w:rsidR="00E027B4" w:rsidRDefault="00B22442" w:rsidP="00EE729D">
      <w:pPr>
        <w:pStyle w:val="Heading1"/>
      </w:pPr>
      <w:r>
        <w:t>07021</w:t>
      </w:r>
      <w:r w:rsidR="00E027B4">
        <w:t xml:space="preserve"> – </w:t>
      </w:r>
      <w:r w:rsidRPr="00B22442">
        <w:t>Auto Glass Repair, Replacement &amp; Recalibration</w:t>
      </w:r>
    </w:p>
    <w:p w14:paraId="6A4BF5A4" w14:textId="12AF8853" w:rsidR="008D61A9"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32B20678" w14:textId="72AEF80A" w:rsidR="00EA6DC7" w:rsidRDefault="00EA6DC7" w:rsidP="00613E6E">
      <w:pPr>
        <w:pStyle w:val="ListParagraph"/>
        <w:ind w:left="360"/>
        <w:jc w:val="both"/>
        <w:rPr>
          <w:rFonts w:cs="Arial"/>
        </w:rPr>
      </w:pPr>
    </w:p>
    <w:p w14:paraId="7D18194F" w14:textId="6450703A" w:rsidR="00877461" w:rsidRDefault="0000155B" w:rsidP="00613E6E">
      <w:pPr>
        <w:pStyle w:val="ListParagraph"/>
        <w:ind w:left="360"/>
        <w:jc w:val="both"/>
        <w:rPr>
          <w:rFonts w:cs="Arial"/>
        </w:rPr>
      </w:pPr>
      <w:r w:rsidRPr="0000155B">
        <w:rPr>
          <w:rFonts w:cs="Arial"/>
        </w:rPr>
        <w:t xml:space="preserve">This contract has multiple awarded contractors to provide </w:t>
      </w:r>
      <w:r w:rsidR="00B22442" w:rsidRPr="00B22442">
        <w:rPr>
          <w:rFonts w:cs="Arial"/>
        </w:rPr>
        <w:t>Auto Glass Repair, Replacement &amp; Recalibration</w:t>
      </w:r>
      <w:r>
        <w:rPr>
          <w:rFonts w:cs="Arial"/>
        </w:rPr>
        <w:t xml:space="preserve"> in </w:t>
      </w:r>
      <w:r w:rsidR="00B22442">
        <w:rPr>
          <w:rFonts w:cs="Arial"/>
        </w:rPr>
        <w:t>Olympic, NW, SW and Eastern regions</w:t>
      </w:r>
      <w:r w:rsidRPr="0000155B">
        <w:rPr>
          <w:rFonts w:cs="Arial"/>
        </w:rPr>
        <w:t xml:space="preserve"> </w:t>
      </w:r>
      <w:r w:rsidR="00877461" w:rsidRPr="0D5F67A3">
        <w:rPr>
          <w:rFonts w:cs="Arial"/>
        </w:rPr>
        <w:t xml:space="preserve">All </w:t>
      </w:r>
      <w:r w:rsidR="00877461">
        <w:rPr>
          <w:rFonts w:cs="Arial"/>
        </w:rPr>
        <w:t>c</w:t>
      </w:r>
      <w:r w:rsidR="00877461" w:rsidRPr="0D5F67A3">
        <w:rPr>
          <w:rFonts w:cs="Arial"/>
        </w:rPr>
        <w:t xml:space="preserve">ontractors went through the competitive solicitation process and </w:t>
      </w:r>
      <w:proofErr w:type="gramStart"/>
      <w:r w:rsidR="00877461" w:rsidRPr="0D5F67A3">
        <w:rPr>
          <w:rFonts w:cs="Arial"/>
        </w:rPr>
        <w:t>were selected</w:t>
      </w:r>
      <w:proofErr w:type="gramEnd"/>
      <w:r w:rsidR="00877461" w:rsidRPr="0D5F67A3">
        <w:rPr>
          <w:rFonts w:cs="Arial"/>
        </w:rPr>
        <w:t xml:space="preserve"> to be awarded on this contract as the highest scoring bidders</w:t>
      </w:r>
      <w:r w:rsidR="00877461">
        <w:rPr>
          <w:rFonts w:cs="Arial"/>
        </w:rPr>
        <w:t xml:space="preserve"> for the specified </w:t>
      </w:r>
      <w:r w:rsidR="00B22442">
        <w:rPr>
          <w:rFonts w:cs="Arial"/>
        </w:rPr>
        <w:t>region.</w:t>
      </w:r>
      <w:r w:rsidR="00877461">
        <w:rPr>
          <w:rFonts w:cs="Arial"/>
        </w:rPr>
        <w:t xml:space="preserve"> </w:t>
      </w:r>
      <w:r w:rsidR="00B22442">
        <w:rPr>
          <w:rFonts w:cs="Arial"/>
        </w:rPr>
        <w:t>Purchasers may use any of the contractors regardless of the region</w:t>
      </w:r>
      <w:r>
        <w:rPr>
          <w:rFonts w:cs="Arial"/>
        </w:rPr>
        <w:t xml:space="preserve"> </w:t>
      </w:r>
      <w:r w:rsidRPr="0000155B">
        <w:rPr>
          <w:rFonts w:cs="Arial"/>
        </w:rPr>
        <w:t xml:space="preserve">All </w:t>
      </w:r>
      <w:r w:rsidR="0013107C">
        <w:rPr>
          <w:rFonts w:cs="Arial"/>
        </w:rPr>
        <w:t>c</w:t>
      </w:r>
      <w:r w:rsidRPr="0000155B">
        <w:rPr>
          <w:rFonts w:cs="Arial"/>
        </w:rPr>
        <w:t xml:space="preserve">ontractors went through the competitive </w:t>
      </w:r>
      <w:r w:rsidR="00F0133D" w:rsidRPr="0000155B">
        <w:rPr>
          <w:rFonts w:cs="Arial"/>
        </w:rPr>
        <w:t>solicitation</w:t>
      </w:r>
      <w:r w:rsidRPr="0000155B">
        <w:rPr>
          <w:rFonts w:cs="Arial"/>
        </w:rPr>
        <w:t xml:space="preserve"> process and </w:t>
      </w:r>
      <w:proofErr w:type="gramStart"/>
      <w:r w:rsidRPr="0000155B">
        <w:rPr>
          <w:rFonts w:cs="Arial"/>
        </w:rPr>
        <w:t>were selected</w:t>
      </w:r>
      <w:proofErr w:type="gramEnd"/>
      <w:r w:rsidRPr="0000155B">
        <w:rPr>
          <w:rFonts w:cs="Arial"/>
        </w:rPr>
        <w:t xml:space="preserve"> to be awarded on this contract as the </w:t>
      </w:r>
      <w:r w:rsidR="00B22442">
        <w:rPr>
          <w:rFonts w:cs="Arial"/>
        </w:rPr>
        <w:t>highest-scoring</w:t>
      </w:r>
      <w:r w:rsidRPr="0000155B">
        <w:rPr>
          <w:rFonts w:cs="Arial"/>
        </w:rPr>
        <w:t xml:space="preserve"> bidders.</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5475C483" w14:textId="208FF126" w:rsidR="003046E4" w:rsidRDefault="003046E4" w:rsidP="005E547E">
      <w:pPr>
        <w:pStyle w:val="ListParagraph"/>
        <w:ind w:left="360"/>
        <w:jc w:val="both"/>
        <w:rPr>
          <w:rFonts w:cs="Arial"/>
        </w:rPr>
      </w:pP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w:t>
      </w:r>
      <w:proofErr w:type="gramStart"/>
      <w:r w:rsidRPr="00C4029F">
        <w:rPr>
          <w:b/>
        </w:rPr>
        <w:t>determine</w:t>
      </w:r>
      <w:proofErr w:type="gramEnd"/>
      <w:r w:rsidRPr="00C4029F">
        <w:rPr>
          <w:b/>
        </w:rPr>
        <w:t xml:space="preserve"> the best </w:t>
      </w:r>
      <w:r w:rsidR="00A56010" w:rsidRPr="00C4029F">
        <w:rPr>
          <w:b/>
        </w:rPr>
        <w:t>awarded c</w:t>
      </w:r>
      <w:r w:rsidRPr="00C4029F">
        <w:rPr>
          <w:b/>
        </w:rPr>
        <w:t>ontractor to use?</w:t>
      </w:r>
    </w:p>
    <w:p w14:paraId="05AE8943" w14:textId="62A82D13" w:rsidR="00E460C3" w:rsidRDefault="00AB3B0A" w:rsidP="00613E6E">
      <w:pPr>
        <w:pStyle w:val="ListParagraph"/>
        <w:ind w:left="360"/>
        <w:jc w:val="both"/>
      </w:pPr>
      <w:r>
        <w:t>Enterprise Services</w:t>
      </w:r>
      <w:r w:rsidR="00E460C3">
        <w:t xml:space="preserve"> recommends reviewing the contract summary page for information about the</w:t>
      </w:r>
      <w:r w:rsidR="00E460C3" w:rsidRPr="00B22442">
        <w:t xml:space="preserve"> winning bid</w:t>
      </w:r>
      <w:r w:rsidR="00E971E3" w:rsidRPr="00B22442">
        <w:t>s</w:t>
      </w:r>
      <w:r w:rsidR="00E460C3" w:rsidRPr="00B22442">
        <w:t xml:space="preserve">, including contractual information, pricing, and any special provisions. In addition, </w:t>
      </w:r>
      <w:r w:rsidR="00540DD1" w:rsidRPr="00B22442">
        <w:t xml:space="preserve">at least </w:t>
      </w:r>
      <w:r w:rsidR="00E460C3" w:rsidRPr="00B22442">
        <w:t xml:space="preserve">the </w:t>
      </w:r>
      <w:r w:rsidR="000642F1" w:rsidRPr="00B22442">
        <w:t>top t</w:t>
      </w:r>
      <w:r w:rsidR="00B22442" w:rsidRPr="00B22442">
        <w:t>wo</w:t>
      </w:r>
      <w:r w:rsidR="000642F1" w:rsidRPr="00B22442">
        <w:t xml:space="preserve"> </w:t>
      </w:r>
      <w:r w:rsidR="00E460C3" w:rsidRPr="00B22442">
        <w:t xml:space="preserve">winning bids </w:t>
      </w:r>
      <w:r w:rsidR="008B2167" w:rsidRPr="00B22442">
        <w:t xml:space="preserve">per category </w:t>
      </w:r>
      <w:r w:rsidR="00E460C3" w:rsidRPr="00B22442">
        <w:t>are</w:t>
      </w:r>
      <w:r w:rsidR="00E460C3">
        <w:t xml:space="preserv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w:t>
      </w:r>
      <w:proofErr w:type="gramStart"/>
      <w:r w:rsidR="00E460C3">
        <w:t>stated</w:t>
      </w:r>
      <w:proofErr w:type="gramEnd"/>
      <w:r w:rsidR="00E460C3">
        <w:t xml:space="preserve"> in these con</w:t>
      </w:r>
      <w:r w:rsidR="00E460C3" w:rsidRPr="00B22442">
        <w:t xml:space="preserve">tracts is the </w:t>
      </w:r>
      <w:r w:rsidR="00E460C3" w:rsidRPr="00B22442">
        <w:rPr>
          <w:shd w:val="clear" w:color="auto" w:fill="E6E6E6"/>
        </w:rPr>
        <w:t>maximum</w:t>
      </w:r>
      <w:r w:rsidR="00E460C3" w:rsidRPr="00B22442">
        <w:t xml:space="preserve"> tha</w:t>
      </w:r>
      <w:r w:rsidR="00E460C3">
        <w:t xml:space="preserve">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25EF6368" w:rsidR="00613E6E" w:rsidRDefault="006D44D3" w:rsidP="00613E6E">
      <w:pPr>
        <w:pStyle w:val="ListParagraph"/>
        <w:ind w:left="360"/>
        <w:jc w:val="both"/>
      </w:pPr>
      <w:r w:rsidRPr="006D44D3">
        <w:t xml:space="preserve">The contractors </w:t>
      </w:r>
      <w:proofErr w:type="gramStart"/>
      <w:r w:rsidRPr="006D44D3">
        <w:t>designated</w:t>
      </w:r>
      <w:proofErr w:type="gramEnd"/>
      <w:r w:rsidRPr="006D44D3">
        <w:t xml:space="preserve"> as main awards are businesses that participated in the competitive solicitation and were determined to be the </w:t>
      </w:r>
      <w:r w:rsidR="00B22442">
        <w:t>highest-scored</w:t>
      </w:r>
      <w:r w:rsidRPr="006D44D3">
        <w:t>,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w:t>
      </w:r>
      <w:r w:rsidRPr="006D44D3">
        <w:lastRenderedPageBreak/>
        <w:t>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19FB1FCC" w:rsidR="0054058F" w:rsidRPr="00C4029F" w:rsidRDefault="00F914ED" w:rsidP="009D1E9A">
      <w:pPr>
        <w:pStyle w:val="ListParagraph"/>
        <w:numPr>
          <w:ilvl w:val="0"/>
          <w:numId w:val="43"/>
        </w:numPr>
        <w:jc w:val="both"/>
        <w:rPr>
          <w:b/>
        </w:rPr>
      </w:pPr>
      <w:r w:rsidRPr="00C4029F">
        <w:rPr>
          <w:b/>
        </w:rPr>
        <w:t>Who can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Default="00F914ED" w:rsidP="00C4029F">
      <w:pPr>
        <w:pStyle w:val="ListParagraph"/>
        <w:numPr>
          <w:ilvl w:val="0"/>
          <w:numId w:val="43"/>
        </w:numPr>
        <w:jc w:val="both"/>
        <w:rPr>
          <w:b/>
        </w:rPr>
      </w:pPr>
      <w:bookmarkStart w:id="5" w:name="FAQ_6"/>
      <w:bookmarkEnd w:id="5"/>
      <w:r w:rsidRPr="00C4029F">
        <w:rPr>
          <w:b/>
        </w:rPr>
        <w:t>What is the pricing model?</w:t>
      </w:r>
    </w:p>
    <w:p w14:paraId="1D018B0C" w14:textId="61EAB519" w:rsidR="00B22442" w:rsidRPr="00B22442" w:rsidRDefault="00B22442" w:rsidP="00B22442">
      <w:pPr>
        <w:pStyle w:val="ListParagraph"/>
        <w:ind w:left="360"/>
        <w:jc w:val="both"/>
        <w:rPr>
          <w:bCs/>
        </w:rPr>
      </w:pPr>
      <w:r w:rsidRPr="00B22442">
        <w:rPr>
          <w:bCs/>
        </w:rPr>
        <w:t>Discount off NACS</w:t>
      </w:r>
      <w:r>
        <w:rPr>
          <w:bCs/>
        </w:rPr>
        <w:t xml:space="preserve"> and fixed pricing. </w:t>
      </w:r>
    </w:p>
    <w:p w14:paraId="28581F74" w14:textId="55583AF2" w:rsidR="008D61A9" w:rsidRPr="00496A56" w:rsidRDefault="008D61A9" w:rsidP="00B22442">
      <w:pPr>
        <w:pStyle w:val="ListParagraph"/>
        <w:keepNext/>
        <w:ind w:left="360"/>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476FE5E6" w:rsidR="008D61A9" w:rsidRPr="00A56010" w:rsidRDefault="00B22442" w:rsidP="00114333">
      <w:pPr>
        <w:pStyle w:val="ListParagraph"/>
        <w:ind w:left="360"/>
        <w:jc w:val="both"/>
        <w:rPr>
          <w:rFonts w:cs="Arial"/>
        </w:rPr>
      </w:pPr>
      <w:r>
        <w:rPr>
          <w:rFonts w:cs="Arial"/>
        </w:rPr>
        <w:t>Timely sales reports and insurance provision.</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013F163" w:rsidR="002C38A8" w:rsidRPr="00C4029F" w:rsidRDefault="002C38A8" w:rsidP="00B22442">
      <w:pPr>
        <w:pStyle w:val="ListParagraph"/>
        <w:numPr>
          <w:ilvl w:val="0"/>
          <w:numId w:val="43"/>
        </w:numPr>
        <w:jc w:val="both"/>
        <w:rPr>
          <w:b/>
        </w:rPr>
      </w:pPr>
      <w:r w:rsidRPr="00C4029F">
        <w:rPr>
          <w:b/>
        </w:rPr>
        <w:t xml:space="preserve">How can I </w:t>
      </w:r>
      <w:proofErr w:type="gramStart"/>
      <w:r w:rsidRPr="00C4029F">
        <w:rPr>
          <w:b/>
        </w:rPr>
        <w:t>purchase</w:t>
      </w:r>
      <w:proofErr w:type="gramEnd"/>
      <w:r w:rsidRPr="00C4029F">
        <w:rPr>
          <w:b/>
        </w:rPr>
        <w:t xml:space="preserve"> greener products? How do I know a product is </w:t>
      </w:r>
      <w:r w:rsidR="00B22442">
        <w:rPr>
          <w:b/>
        </w:rPr>
        <w:t>toxics-free</w:t>
      </w:r>
      <w:r w:rsidRPr="00C4029F">
        <w:rPr>
          <w:b/>
        </w:rPr>
        <w:t xml:space="preserv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Default="00F47A2C" w:rsidP="008D61A9">
      <w:pPr>
        <w:ind w:left="360"/>
        <w:jc w:val="both"/>
        <w:rPr>
          <w:rFonts w:cs="Arial"/>
        </w:rPr>
      </w:pPr>
      <w:bookmarkStart w:id="9"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p w14:paraId="55761E7C" w14:textId="4F27C8C5" w:rsidR="00B22442" w:rsidRPr="00B22442" w:rsidRDefault="00B22442" w:rsidP="00B22442">
      <w:pPr>
        <w:pStyle w:val="ListParagraph"/>
        <w:numPr>
          <w:ilvl w:val="0"/>
          <w:numId w:val="43"/>
        </w:numPr>
        <w:jc w:val="both"/>
        <w:rPr>
          <w:rFonts w:cs="Arial"/>
          <w:b/>
          <w:bCs/>
        </w:rPr>
      </w:pPr>
      <w:r w:rsidRPr="00B22442">
        <w:rPr>
          <w:rFonts w:cs="Arial"/>
          <w:b/>
          <w:bCs/>
        </w:rPr>
        <w:lastRenderedPageBreak/>
        <w:t xml:space="preserve">What is a Motor Pool? </w:t>
      </w:r>
    </w:p>
    <w:p w14:paraId="55901859" w14:textId="5015C032" w:rsidR="00B22442" w:rsidRDefault="00B22442" w:rsidP="00B22442">
      <w:pPr>
        <w:pStyle w:val="ListParagraph"/>
        <w:ind w:left="360"/>
        <w:jc w:val="both"/>
        <w:rPr>
          <w:rFonts w:cs="Arial"/>
        </w:rPr>
      </w:pPr>
      <w:r w:rsidRPr="00B22442">
        <w:rPr>
          <w:rFonts w:cs="Arial"/>
        </w:rPr>
        <w:t xml:space="preserve">DES Fleet Operations Daily Rental Trip fleet has in some instances also </w:t>
      </w:r>
      <w:proofErr w:type="gramStart"/>
      <w:r w:rsidRPr="00B22442">
        <w:rPr>
          <w:rFonts w:cs="Arial"/>
        </w:rPr>
        <w:t>been called</w:t>
      </w:r>
      <w:proofErr w:type="gramEnd"/>
      <w:r w:rsidRPr="00B22442">
        <w:rPr>
          <w:rFonts w:cs="Arial"/>
        </w:rPr>
        <w:t xml:space="preserve"> “motor pool,” “Des trip,” “DES daily rental,” etc. By a basic definition, motor pool typically refers to an entity's vehicle fleet or “pool of vehicles.”</w:t>
      </w:r>
    </w:p>
    <w:p w14:paraId="0EEF32F1" w14:textId="6604C936" w:rsidR="00B22442" w:rsidRPr="00B22442" w:rsidRDefault="00B22442" w:rsidP="00B22442">
      <w:pPr>
        <w:pStyle w:val="ListParagraph"/>
        <w:numPr>
          <w:ilvl w:val="0"/>
          <w:numId w:val="43"/>
        </w:numPr>
        <w:jc w:val="both"/>
        <w:rPr>
          <w:rFonts w:cs="Arial"/>
          <w:b/>
          <w:bCs/>
        </w:rPr>
      </w:pPr>
      <w:r w:rsidRPr="00B22442">
        <w:rPr>
          <w:rFonts w:cs="Arial"/>
          <w:b/>
          <w:bCs/>
        </w:rPr>
        <w:t>Do I need to have a Purchase Order (PO) to buy glass or glass service for my agency?</w:t>
      </w:r>
    </w:p>
    <w:p w14:paraId="746088AE" w14:textId="16E16620" w:rsidR="00B22442" w:rsidRDefault="00B22442" w:rsidP="00B22442">
      <w:pPr>
        <w:pStyle w:val="ListParagraph"/>
        <w:ind w:left="360"/>
        <w:jc w:val="both"/>
        <w:rPr>
          <w:rFonts w:cs="Arial"/>
        </w:rPr>
      </w:pPr>
      <w:r w:rsidRPr="00B22442">
        <w:rPr>
          <w:rFonts w:cs="Arial"/>
        </w:rPr>
        <w:t xml:space="preserve">Absolutely! The PO is not just a proof of request, but also a way for everyone involved to track the purchases. Every PO </w:t>
      </w:r>
      <w:r w:rsidRPr="00B22442">
        <w:rPr>
          <w:rFonts w:cs="Arial"/>
          <w:u w:val="single"/>
        </w:rPr>
        <w:t>must</w:t>
      </w:r>
      <w:r w:rsidRPr="00B22442">
        <w:rPr>
          <w:rFonts w:cs="Arial"/>
        </w:rPr>
        <w:t xml:space="preserve"> have the contract number 07021 listed.</w:t>
      </w:r>
    </w:p>
    <w:p w14:paraId="05F8005D" w14:textId="25724248" w:rsidR="00B22442" w:rsidRPr="00B22442" w:rsidRDefault="00B22442" w:rsidP="00B22442">
      <w:pPr>
        <w:pStyle w:val="ListParagraph"/>
        <w:numPr>
          <w:ilvl w:val="0"/>
          <w:numId w:val="43"/>
        </w:numPr>
        <w:jc w:val="both"/>
        <w:rPr>
          <w:rFonts w:cs="Arial"/>
          <w:b/>
          <w:bCs/>
        </w:rPr>
      </w:pPr>
      <w:r w:rsidRPr="00B22442">
        <w:rPr>
          <w:rFonts w:cs="Arial"/>
          <w:b/>
          <w:bCs/>
        </w:rPr>
        <w:t>I am in X county and this shop is out of my area, can I still call them for service?</w:t>
      </w:r>
    </w:p>
    <w:p w14:paraId="4A0C977C" w14:textId="0DE37DCA" w:rsidR="002C38A8" w:rsidRPr="00496A56" w:rsidRDefault="00B22442" w:rsidP="00B22442">
      <w:pPr>
        <w:pStyle w:val="ListParagraph"/>
        <w:ind w:left="360"/>
        <w:jc w:val="both"/>
        <w:rPr>
          <w:rFonts w:cs="Arial"/>
        </w:rPr>
      </w:pPr>
      <w:r w:rsidRPr="00B22442">
        <w:rPr>
          <w:rFonts w:cs="Arial"/>
        </w:rPr>
        <w:t xml:space="preserve">Yes, you may call any shop listed on either 07021 or 21822 but beware the shop might have a trip charge. In some instances, the job the shop </w:t>
      </w:r>
      <w:proofErr w:type="gramStart"/>
      <w:r w:rsidRPr="00B22442">
        <w:rPr>
          <w:rFonts w:cs="Arial"/>
        </w:rPr>
        <w:t>is called</w:t>
      </w:r>
      <w:proofErr w:type="gramEnd"/>
      <w:r w:rsidRPr="00B22442">
        <w:rPr>
          <w:rFonts w:cs="Arial"/>
        </w:rPr>
        <w:t xml:space="preserve"> for is costing less than the trip to your location, so shops have to offset the charge.</w:t>
      </w:r>
      <w:bookmarkEnd w:id="9"/>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lastRenderedPageBreak/>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623681CC" w:rsidR="002D44CF" w:rsidRPr="0074484A" w:rsidRDefault="002D44CF" w:rsidP="0030407E">
    <w:pPr>
      <w:pStyle w:val="Footer"/>
      <w:rPr>
        <w:sz w:val="20"/>
      </w:rPr>
    </w:pPr>
    <w:r>
      <w:rPr>
        <w:sz w:val="20"/>
      </w:rPr>
      <w:t xml:space="preserve">Contract No. </w:t>
    </w:r>
    <w:r w:rsidR="00B22442">
      <w:rPr>
        <w:sz w:val="20"/>
      </w:rPr>
      <w:t>07021</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BB3F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CED0A5F0"/>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3MDMxNDU3MzI1NzFR0lEKTi0uzszPAykwqgUAW0r9MiwAAAA="/>
  </w:docVars>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20F1F"/>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04215"/>
    <w:rsid w:val="0051202E"/>
    <w:rsid w:val="00517E0A"/>
    <w:rsid w:val="00540487"/>
    <w:rsid w:val="0054058F"/>
    <w:rsid w:val="00540DD1"/>
    <w:rsid w:val="005462CA"/>
    <w:rsid w:val="00562C76"/>
    <w:rsid w:val="00566639"/>
    <w:rsid w:val="00571DED"/>
    <w:rsid w:val="00573AF9"/>
    <w:rsid w:val="005908A0"/>
    <w:rsid w:val="00592722"/>
    <w:rsid w:val="00592D71"/>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2099"/>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6813"/>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2442"/>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7FA48D3B-E491-4A8E-906D-A93CC2C73B28}">
  <ds:schemaRefs>
    <ds:schemaRef ds:uri="http://purl.org/dc/dcmitype/"/>
    <ds:schemaRef ds:uri="http://schemas.microsoft.com/sharepoint/v3"/>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db9e8f5-e773-48b6-ac01-e4d5d934d6b8"/>
    <ds:schemaRef ds:uri="b6afe888-f51a-4c3d-82c6-e39c96fc34b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1463</Words>
  <Characters>9318</Characters>
  <Application>Microsoft Office Word</Application>
  <DocSecurity>0</DocSecurity>
  <Lines>207</Lines>
  <Paragraphs>87</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10694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Mesihovic, Nina (DES)</cp:lastModifiedBy>
  <cp:revision>2</cp:revision>
  <cp:lastPrinted>2018-02-01T23:33:00Z</cp:lastPrinted>
  <dcterms:created xsi:type="dcterms:W3CDTF">2025-03-19T17:02:00Z</dcterms:created>
  <dcterms:modified xsi:type="dcterms:W3CDTF">2025-03-19T17:02:00Z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